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5B7D" w14:textId="77777777" w:rsidR="00566470" w:rsidRDefault="00566470">
      <w:pPr>
        <w:pStyle w:val="BodyText"/>
        <w:rPr>
          <w:rFonts w:ascii="Arial" w:hAnsi="Arial"/>
        </w:rPr>
      </w:pPr>
      <w:r>
        <w:rPr>
          <w:rFonts w:ascii="Arial" w:hAnsi="Arial"/>
        </w:rPr>
        <w:t>‘CALL IN</w:t>
      </w:r>
      <w:proofErr w:type="gramStart"/>
      <w:r>
        <w:rPr>
          <w:rFonts w:ascii="Arial" w:hAnsi="Arial"/>
        </w:rPr>
        <w:t>’  OF</w:t>
      </w:r>
      <w:proofErr w:type="gramEnd"/>
      <w:r>
        <w:rPr>
          <w:rFonts w:ascii="Arial" w:hAnsi="Arial"/>
        </w:rPr>
        <w:t xml:space="preserve"> DECISIONS OF THE CABINET</w:t>
      </w:r>
    </w:p>
    <w:p w14:paraId="63B4B615" w14:textId="77777777" w:rsidR="00566470" w:rsidRDefault="00566470">
      <w:pPr>
        <w:rPr>
          <w:rFonts w:ascii="Arial" w:hAnsi="Arial"/>
        </w:rPr>
      </w:pPr>
    </w:p>
    <w:p w14:paraId="26BA1E25" w14:textId="77777777" w:rsidR="00566470" w:rsidRDefault="00566470">
      <w:pPr>
        <w:rPr>
          <w:rFonts w:ascii="Arial" w:hAnsi="Arial"/>
        </w:rPr>
      </w:pPr>
      <w:r>
        <w:rPr>
          <w:rFonts w:ascii="Arial" w:hAnsi="Arial"/>
        </w:rPr>
        <w:t>This form is to be used for the ‘calling in’ of decisions of the above bodies, in accordance with the procedure set out in Part 4 Section H.2 of the Constitution.</w:t>
      </w:r>
    </w:p>
    <w:p w14:paraId="4D23351A" w14:textId="77777777" w:rsidR="00566470" w:rsidRDefault="00566470">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566470" w14:paraId="06C937FE" w14:textId="77777777">
        <w:tc>
          <w:tcPr>
            <w:tcW w:w="4261" w:type="dxa"/>
          </w:tcPr>
          <w:p w14:paraId="5AB9011B" w14:textId="77777777" w:rsidR="00566470" w:rsidRDefault="00566470">
            <w:pPr>
              <w:pStyle w:val="Heading1"/>
              <w:rPr>
                <w:rFonts w:ascii="Arial" w:hAnsi="Arial"/>
              </w:rPr>
            </w:pPr>
            <w:r>
              <w:rPr>
                <w:rFonts w:ascii="Arial" w:hAnsi="Arial"/>
              </w:rPr>
              <w:t>TITLE OF MEETING</w:t>
            </w:r>
          </w:p>
        </w:tc>
        <w:tc>
          <w:tcPr>
            <w:tcW w:w="4261" w:type="dxa"/>
          </w:tcPr>
          <w:p w14:paraId="066C60C6" w14:textId="1FF9DBB4" w:rsidR="00566470" w:rsidRDefault="00517293">
            <w:pPr>
              <w:rPr>
                <w:rFonts w:ascii="Arial" w:hAnsi="Arial"/>
              </w:rPr>
            </w:pPr>
            <w:r>
              <w:rPr>
                <w:rFonts w:ascii="Arial" w:hAnsi="Arial"/>
              </w:rPr>
              <w:t>Cabinet</w:t>
            </w:r>
            <w:r w:rsidR="00300FDD">
              <w:rPr>
                <w:rFonts w:ascii="Arial" w:hAnsi="Arial"/>
              </w:rPr>
              <w:t xml:space="preserve"> Member Signing</w:t>
            </w:r>
          </w:p>
        </w:tc>
      </w:tr>
    </w:tbl>
    <w:p w14:paraId="7075B741" w14:textId="77777777" w:rsidR="00566470" w:rsidRDefault="00566470">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566470" w14:paraId="73F660E3" w14:textId="77777777">
        <w:tc>
          <w:tcPr>
            <w:tcW w:w="4261" w:type="dxa"/>
          </w:tcPr>
          <w:p w14:paraId="6F042A5A" w14:textId="77777777" w:rsidR="00566470" w:rsidRDefault="00566470">
            <w:pPr>
              <w:pStyle w:val="Heading1"/>
              <w:rPr>
                <w:rFonts w:ascii="Arial" w:hAnsi="Arial"/>
              </w:rPr>
            </w:pPr>
            <w:r>
              <w:rPr>
                <w:rFonts w:ascii="Arial" w:hAnsi="Arial"/>
              </w:rPr>
              <w:t>DATE OF MEETING</w:t>
            </w:r>
          </w:p>
        </w:tc>
        <w:tc>
          <w:tcPr>
            <w:tcW w:w="4261" w:type="dxa"/>
          </w:tcPr>
          <w:p w14:paraId="0DD9B4B6" w14:textId="0DCA81E5" w:rsidR="00566470" w:rsidRDefault="00300FDD">
            <w:pPr>
              <w:rPr>
                <w:rFonts w:ascii="Arial" w:hAnsi="Arial"/>
              </w:rPr>
            </w:pPr>
            <w:r>
              <w:rPr>
                <w:rFonts w:ascii="Arial" w:hAnsi="Arial"/>
              </w:rPr>
              <w:t>2</w:t>
            </w:r>
            <w:r w:rsidR="00517293">
              <w:rPr>
                <w:rFonts w:ascii="Arial" w:hAnsi="Arial"/>
              </w:rPr>
              <w:t>0</w:t>
            </w:r>
            <w:r w:rsidR="00517293" w:rsidRPr="00517293">
              <w:rPr>
                <w:rFonts w:ascii="Arial" w:hAnsi="Arial"/>
                <w:vertAlign w:val="superscript"/>
              </w:rPr>
              <w:t>th</w:t>
            </w:r>
            <w:r w:rsidR="00517293">
              <w:rPr>
                <w:rFonts w:ascii="Arial" w:hAnsi="Arial"/>
              </w:rPr>
              <w:t xml:space="preserve"> March 2026</w:t>
            </w:r>
          </w:p>
        </w:tc>
      </w:tr>
    </w:tbl>
    <w:p w14:paraId="4DEFDC33" w14:textId="77777777" w:rsidR="00566470" w:rsidRDefault="00566470">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566470" w14:paraId="2B50B7CF" w14:textId="77777777">
        <w:tc>
          <w:tcPr>
            <w:tcW w:w="4261" w:type="dxa"/>
          </w:tcPr>
          <w:p w14:paraId="05DF748F" w14:textId="77777777" w:rsidR="00566470" w:rsidRDefault="00566470">
            <w:pPr>
              <w:pStyle w:val="Heading1"/>
              <w:rPr>
                <w:rFonts w:ascii="Arial" w:hAnsi="Arial"/>
              </w:rPr>
            </w:pPr>
            <w:r>
              <w:rPr>
                <w:rFonts w:ascii="Arial" w:hAnsi="Arial"/>
              </w:rPr>
              <w:t>MINUTE No. AND TITLE OF ITEM</w:t>
            </w:r>
          </w:p>
        </w:tc>
        <w:tc>
          <w:tcPr>
            <w:tcW w:w="4261" w:type="dxa"/>
          </w:tcPr>
          <w:p w14:paraId="6887583B" w14:textId="126B8A55" w:rsidR="00566470" w:rsidRDefault="00300FDD">
            <w:pPr>
              <w:rPr>
                <w:rFonts w:ascii="Arial" w:hAnsi="Arial"/>
              </w:rPr>
            </w:pPr>
            <w:r w:rsidRPr="00300FDD">
              <w:rPr>
                <w:rFonts w:ascii="Arial" w:hAnsi="Arial"/>
              </w:rPr>
              <w:t xml:space="preserve">Park </w:t>
            </w:r>
            <w:proofErr w:type="gramStart"/>
            <w:r w:rsidRPr="00300FDD">
              <w:rPr>
                <w:rFonts w:ascii="Arial" w:hAnsi="Arial"/>
              </w:rPr>
              <w:t>hire</w:t>
            </w:r>
            <w:proofErr w:type="gramEnd"/>
            <w:r w:rsidRPr="00300FDD">
              <w:rPr>
                <w:rFonts w:ascii="Arial" w:hAnsi="Arial"/>
              </w:rPr>
              <w:t xml:space="preserve"> applications by Live Nation / Festival Republic Ltd to hire Finsbury Park for multi-event weekends</w:t>
            </w:r>
          </w:p>
        </w:tc>
      </w:tr>
    </w:tbl>
    <w:p w14:paraId="52A85B03" w14:textId="77777777" w:rsidR="00566470" w:rsidRDefault="00566470">
      <w:pPr>
        <w:rPr>
          <w:rFonts w:ascii="Arial" w:hAnsi="Arial"/>
        </w:rPr>
      </w:pPr>
    </w:p>
    <w:p w14:paraId="1FB861A0" w14:textId="77777777" w:rsidR="00566470" w:rsidRDefault="00566470">
      <w:pPr>
        <w:numPr>
          <w:ilvl w:val="0"/>
          <w:numId w:val="3"/>
        </w:numPr>
        <w:rPr>
          <w:rFonts w:ascii="Arial" w:hAnsi="Arial"/>
          <w:b/>
        </w:rPr>
      </w:pPr>
      <w:r>
        <w:rPr>
          <w:rFonts w:ascii="Arial" w:hAnsi="Arial"/>
          <w:b/>
        </w:rPr>
        <w:t>Reason for Call-In/Is it claimed to be outside the policy or budget framework?</w:t>
      </w:r>
    </w:p>
    <w:p w14:paraId="7F86014D" w14:textId="77777777" w:rsidR="00566470" w:rsidRDefault="00566470">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566470" w14:paraId="2E9AADC3" w14:textId="77777777">
        <w:tc>
          <w:tcPr>
            <w:tcW w:w="8522" w:type="dxa"/>
          </w:tcPr>
          <w:p w14:paraId="52ECE06E" w14:textId="77777777" w:rsidR="00566470" w:rsidRDefault="00566470">
            <w:pPr>
              <w:rPr>
                <w:rFonts w:ascii="Arial" w:hAnsi="Arial"/>
              </w:rPr>
            </w:pPr>
          </w:p>
          <w:p w14:paraId="646AC6BB" w14:textId="755A004F" w:rsidR="00517293" w:rsidRDefault="00517293">
            <w:pPr>
              <w:rPr>
                <w:rFonts w:ascii="Arial" w:hAnsi="Arial"/>
              </w:rPr>
            </w:pPr>
            <w:r>
              <w:rPr>
                <w:rFonts w:ascii="Arial" w:hAnsi="Arial"/>
              </w:rPr>
              <w:t xml:space="preserve">The </w:t>
            </w:r>
            <w:r w:rsidR="00EF5CD9">
              <w:rPr>
                <w:rFonts w:ascii="Arial" w:hAnsi="Arial"/>
              </w:rPr>
              <w:t>decision</w:t>
            </w:r>
            <w:r>
              <w:rPr>
                <w:rFonts w:ascii="Arial" w:hAnsi="Arial"/>
              </w:rPr>
              <w:t xml:space="preserve"> was outside the policy framework.</w:t>
            </w:r>
          </w:p>
          <w:p w14:paraId="28FC9DF3" w14:textId="77777777" w:rsidR="00C950F3" w:rsidRDefault="00C950F3">
            <w:pPr>
              <w:rPr>
                <w:rFonts w:ascii="Arial" w:hAnsi="Arial"/>
              </w:rPr>
            </w:pPr>
          </w:p>
          <w:p w14:paraId="1D0BF066" w14:textId="2743BC54" w:rsidR="00C950F3" w:rsidRDefault="00C950F3">
            <w:pPr>
              <w:rPr>
                <w:rFonts w:ascii="Arial" w:hAnsi="Arial"/>
              </w:rPr>
            </w:pPr>
            <w:r>
              <w:rPr>
                <w:rFonts w:ascii="Arial" w:hAnsi="Arial"/>
              </w:rPr>
              <w:t>Reasons for call-in:</w:t>
            </w:r>
          </w:p>
          <w:p w14:paraId="27D9D845" w14:textId="77777777" w:rsidR="00AE0ABB" w:rsidRDefault="00AE0ABB">
            <w:pPr>
              <w:rPr>
                <w:rFonts w:ascii="Arial" w:hAnsi="Arial"/>
              </w:rPr>
            </w:pPr>
          </w:p>
          <w:p w14:paraId="5A6AEECD" w14:textId="77777777" w:rsidR="0082059A" w:rsidRDefault="0082059A" w:rsidP="00560ACB">
            <w:pPr>
              <w:numPr>
                <w:ilvl w:val="0"/>
                <w:numId w:val="9"/>
              </w:numPr>
              <w:rPr>
                <w:rFonts w:ascii="Arial" w:hAnsi="Arial"/>
              </w:rPr>
            </w:pPr>
            <w:r w:rsidRPr="0082059A">
              <w:rPr>
                <w:rFonts w:ascii="Arial" w:hAnsi="Arial"/>
              </w:rPr>
              <w:t>Insufficient public consultation and coordination with stakeholders</w:t>
            </w:r>
          </w:p>
          <w:p w14:paraId="3D2385FE" w14:textId="77777777" w:rsidR="00D24AC8" w:rsidRDefault="0082059A" w:rsidP="008D5CD1">
            <w:pPr>
              <w:ind w:left="1440"/>
              <w:rPr>
                <w:rFonts w:ascii="Arial" w:hAnsi="Arial"/>
              </w:rPr>
            </w:pPr>
            <w:r>
              <w:rPr>
                <w:rFonts w:ascii="Arial" w:hAnsi="Arial"/>
              </w:rPr>
              <w:t xml:space="preserve">There are serious questions to be answered about the consultation process relating to this decision. The Cabinet report </w:t>
            </w:r>
            <w:r w:rsidR="00616DB0">
              <w:rPr>
                <w:rFonts w:ascii="Arial" w:hAnsi="Arial"/>
              </w:rPr>
              <w:t xml:space="preserve">states that </w:t>
            </w:r>
            <w:r w:rsidR="00616DB0" w:rsidRPr="00616DB0">
              <w:rPr>
                <w:rFonts w:ascii="Arial" w:hAnsi="Arial"/>
                <w:i/>
                <w:iCs/>
              </w:rPr>
              <w:t>“no comments were received from recognised stakeholders of Finsbury Park in response to the event notifications being sent as part of the decision-making process”</w:t>
            </w:r>
            <w:r w:rsidR="00616DB0">
              <w:rPr>
                <w:rFonts w:ascii="Arial" w:hAnsi="Arial"/>
              </w:rPr>
              <w:t xml:space="preserve">. </w:t>
            </w:r>
          </w:p>
          <w:p w14:paraId="7F3B6665" w14:textId="77777777" w:rsidR="00D24AC8" w:rsidRDefault="00D24AC8" w:rsidP="008D5CD1">
            <w:pPr>
              <w:ind w:left="1440"/>
              <w:rPr>
                <w:rFonts w:ascii="Arial" w:hAnsi="Arial"/>
              </w:rPr>
            </w:pPr>
          </w:p>
          <w:p w14:paraId="7190F5A0" w14:textId="77777777" w:rsidR="00D24AC8" w:rsidRDefault="00D24AC8" w:rsidP="008D5CD1">
            <w:pPr>
              <w:ind w:left="1440"/>
              <w:rPr>
                <w:rFonts w:ascii="Arial" w:hAnsi="Arial"/>
              </w:rPr>
            </w:pPr>
            <w:r>
              <w:rPr>
                <w:rFonts w:ascii="Arial" w:hAnsi="Arial"/>
              </w:rPr>
              <w:t>Given the very high level of public interest in previous decisions relating to these festivals (call-in request; licence review; and Judicial Review), officers should have been expecting a significant response to the consultation on this decision.</w:t>
            </w:r>
          </w:p>
          <w:p w14:paraId="4B75B177" w14:textId="77777777" w:rsidR="00D24AC8" w:rsidRDefault="00D24AC8" w:rsidP="008D5CD1">
            <w:pPr>
              <w:ind w:left="1440"/>
              <w:rPr>
                <w:rFonts w:ascii="Arial" w:hAnsi="Arial"/>
              </w:rPr>
            </w:pPr>
          </w:p>
          <w:p w14:paraId="03040B62" w14:textId="77777777" w:rsidR="00D24AC8" w:rsidRDefault="00616DB0" w:rsidP="008D5CD1">
            <w:pPr>
              <w:ind w:left="1440"/>
              <w:rPr>
                <w:rFonts w:ascii="Arial" w:hAnsi="Arial"/>
              </w:rPr>
            </w:pPr>
            <w:proofErr w:type="gramStart"/>
            <w:r>
              <w:rPr>
                <w:rFonts w:ascii="Arial" w:hAnsi="Arial"/>
              </w:rPr>
              <w:t>Th</w:t>
            </w:r>
            <w:r w:rsidR="00D24AC8">
              <w:rPr>
                <w:rFonts w:ascii="Arial" w:hAnsi="Arial"/>
              </w:rPr>
              <w:t>erefore</w:t>
            </w:r>
            <w:proofErr w:type="gramEnd"/>
            <w:r w:rsidR="00D24AC8">
              <w:rPr>
                <w:rFonts w:ascii="Arial" w:hAnsi="Arial"/>
              </w:rPr>
              <w:t xml:space="preserve"> the complete </w:t>
            </w:r>
            <w:r>
              <w:rPr>
                <w:rFonts w:ascii="Arial" w:hAnsi="Arial"/>
              </w:rPr>
              <w:t xml:space="preserve">lack of response </w:t>
            </w:r>
            <w:r w:rsidR="00D24AC8">
              <w:rPr>
                <w:rFonts w:ascii="Arial" w:hAnsi="Arial"/>
              </w:rPr>
              <w:t xml:space="preserve">from </w:t>
            </w:r>
            <w:r w:rsidR="00D24AC8" w:rsidRPr="00D24AC8">
              <w:rPr>
                <w:rFonts w:ascii="Arial" w:hAnsi="Arial"/>
                <w:i/>
                <w:iCs/>
                <w:u w:val="single"/>
              </w:rPr>
              <w:t>any</w:t>
            </w:r>
            <w:r w:rsidR="00D24AC8">
              <w:rPr>
                <w:rFonts w:ascii="Arial" w:hAnsi="Arial"/>
              </w:rPr>
              <w:t xml:space="preserve"> recognised stakeholder </w:t>
            </w:r>
            <w:r w:rsidRPr="00D24AC8">
              <w:rPr>
                <w:rFonts w:ascii="Arial" w:hAnsi="Arial"/>
              </w:rPr>
              <w:t>should</w:t>
            </w:r>
            <w:r>
              <w:rPr>
                <w:rFonts w:ascii="Arial" w:hAnsi="Arial"/>
              </w:rPr>
              <w:t xml:space="preserve"> have triggered the council to investigate whether the</w:t>
            </w:r>
            <w:r w:rsidR="00D24AC8">
              <w:rPr>
                <w:rFonts w:ascii="Arial" w:hAnsi="Arial"/>
              </w:rPr>
              <w:t>re had been any problems with the communication process.</w:t>
            </w:r>
          </w:p>
          <w:p w14:paraId="12A77A76" w14:textId="77777777" w:rsidR="00D24AC8" w:rsidRDefault="00D24AC8" w:rsidP="008D5CD1">
            <w:pPr>
              <w:ind w:left="1440"/>
              <w:rPr>
                <w:rFonts w:ascii="Arial" w:hAnsi="Arial"/>
              </w:rPr>
            </w:pPr>
          </w:p>
          <w:p w14:paraId="14B8FD37" w14:textId="77777777" w:rsidR="0043516F" w:rsidRDefault="00D24AC8" w:rsidP="008D5CD1">
            <w:pPr>
              <w:ind w:left="1440"/>
              <w:rPr>
                <w:rFonts w:ascii="Arial" w:hAnsi="Arial"/>
              </w:rPr>
            </w:pPr>
            <w:r>
              <w:rPr>
                <w:rFonts w:ascii="Arial" w:hAnsi="Arial"/>
              </w:rPr>
              <w:t xml:space="preserve">It appears that no attempt was made </w:t>
            </w:r>
            <w:r w:rsidR="0043516F">
              <w:rPr>
                <w:rFonts w:ascii="Arial" w:hAnsi="Arial"/>
              </w:rPr>
              <w:t>to verify whether</w:t>
            </w:r>
            <w:r w:rsidR="00616DB0">
              <w:rPr>
                <w:rFonts w:ascii="Arial" w:hAnsi="Arial"/>
              </w:rPr>
              <w:t xml:space="preserve"> stakeholders had </w:t>
            </w:r>
            <w:proofErr w:type="gramStart"/>
            <w:r w:rsidR="00616DB0">
              <w:rPr>
                <w:rFonts w:ascii="Arial" w:hAnsi="Arial"/>
              </w:rPr>
              <w:t>actually received</w:t>
            </w:r>
            <w:proofErr w:type="gramEnd"/>
            <w:r w:rsidR="00616DB0">
              <w:rPr>
                <w:rFonts w:ascii="Arial" w:hAnsi="Arial"/>
              </w:rPr>
              <w:t xml:space="preserve"> the relevant communications. </w:t>
            </w:r>
            <w:r w:rsidR="0043516F">
              <w:rPr>
                <w:rFonts w:ascii="Arial" w:hAnsi="Arial"/>
              </w:rPr>
              <w:t xml:space="preserve">When </w:t>
            </w:r>
            <w:r w:rsidR="00616DB0">
              <w:rPr>
                <w:rFonts w:ascii="Arial" w:hAnsi="Arial"/>
              </w:rPr>
              <w:t xml:space="preserve">the </w:t>
            </w:r>
            <w:r w:rsidR="00616DB0" w:rsidRPr="00616DB0">
              <w:rPr>
                <w:rFonts w:ascii="Arial" w:hAnsi="Arial"/>
              </w:rPr>
              <w:t>Ladder Community Safety Partnership (LCSP)</w:t>
            </w:r>
            <w:r w:rsidR="00616DB0">
              <w:rPr>
                <w:rFonts w:ascii="Arial" w:hAnsi="Arial"/>
              </w:rPr>
              <w:t xml:space="preserve"> </w:t>
            </w:r>
            <w:r w:rsidR="0043516F">
              <w:rPr>
                <w:rFonts w:ascii="Arial" w:hAnsi="Arial"/>
              </w:rPr>
              <w:t>got in touch after seeing the agenda published for the cabinet member signing, the council still failed to recognise that this was a wider problem.</w:t>
            </w:r>
          </w:p>
          <w:p w14:paraId="27B2D5BF" w14:textId="77777777" w:rsidR="0043516F" w:rsidRDefault="0043516F" w:rsidP="008D5CD1">
            <w:pPr>
              <w:ind w:left="1440"/>
              <w:rPr>
                <w:rFonts w:ascii="Arial" w:hAnsi="Arial"/>
              </w:rPr>
            </w:pPr>
          </w:p>
          <w:p w14:paraId="3B838D4A" w14:textId="77777777" w:rsidR="0033454A" w:rsidRDefault="0043516F" w:rsidP="0033454A">
            <w:pPr>
              <w:ind w:left="1440"/>
              <w:rPr>
                <w:rFonts w:ascii="Arial" w:hAnsi="Arial"/>
              </w:rPr>
            </w:pPr>
            <w:r>
              <w:rPr>
                <w:rFonts w:ascii="Arial" w:hAnsi="Arial"/>
              </w:rPr>
              <w:t>Even when officers acknowledged that LCSP ha</w:t>
            </w:r>
            <w:r w:rsidR="00616DB0">
              <w:rPr>
                <w:rFonts w:ascii="Arial" w:hAnsi="Arial"/>
              </w:rPr>
              <w:t xml:space="preserve">d not received the consultation email, </w:t>
            </w:r>
            <w:r>
              <w:rPr>
                <w:rFonts w:ascii="Arial" w:hAnsi="Arial"/>
              </w:rPr>
              <w:t>the partnership was given mere hours to provide a response. LCSP makes decisions through monthly meetings, so no meaningful response was possible i</w:t>
            </w:r>
            <w:r w:rsidR="0033454A">
              <w:rPr>
                <w:rFonts w:ascii="Arial" w:hAnsi="Arial"/>
              </w:rPr>
              <w:t>n this time</w:t>
            </w:r>
            <w:r>
              <w:rPr>
                <w:rFonts w:ascii="Arial" w:hAnsi="Arial"/>
              </w:rPr>
              <w:t xml:space="preserve">, </w:t>
            </w:r>
            <w:r>
              <w:rPr>
                <w:rFonts w:ascii="Arial" w:hAnsi="Arial"/>
              </w:rPr>
              <w:lastRenderedPageBreak/>
              <w:t>yet the council decided to proceed with the signing after an adjournment of less than 24 hours.</w:t>
            </w:r>
          </w:p>
          <w:p w14:paraId="0CF13F69" w14:textId="77777777" w:rsidR="0033454A" w:rsidRDefault="0082059A" w:rsidP="0033454A">
            <w:pPr>
              <w:numPr>
                <w:ilvl w:val="0"/>
                <w:numId w:val="9"/>
              </w:numPr>
              <w:rPr>
                <w:rFonts w:ascii="Arial" w:hAnsi="Arial"/>
              </w:rPr>
            </w:pPr>
            <w:r w:rsidRPr="0033454A">
              <w:rPr>
                <w:rFonts w:ascii="Arial" w:hAnsi="Arial"/>
                <w:b/>
                <w:bCs/>
              </w:rPr>
              <w:t>An outdated major events policy</w:t>
            </w:r>
            <w:r w:rsidR="0033454A">
              <w:rPr>
                <w:rFonts w:ascii="Arial" w:hAnsi="Arial"/>
              </w:rPr>
              <w:t xml:space="preserve"> </w:t>
            </w:r>
          </w:p>
          <w:p w14:paraId="6E2B30A8" w14:textId="77777777" w:rsidR="00566470" w:rsidRDefault="0082059A" w:rsidP="0033454A">
            <w:pPr>
              <w:ind w:left="1440"/>
              <w:rPr>
                <w:rFonts w:ascii="Arial" w:hAnsi="Arial"/>
              </w:rPr>
            </w:pPr>
            <w:r w:rsidRPr="0082059A">
              <w:rPr>
                <w:rFonts w:ascii="Arial" w:hAnsi="Arial"/>
              </w:rPr>
              <w:t xml:space="preserve">This deal is based on the major events policy which comes from 2014. </w:t>
            </w:r>
            <w:r w:rsidR="0033454A">
              <w:rPr>
                <w:rFonts w:ascii="Arial" w:hAnsi="Arial"/>
              </w:rPr>
              <w:t>The experience of over a decade of major events since then, along with the growing importance of access to public space (especially as more homes are being built without gardens) means that an update is needed. Without an up-to-date policy, any decisions relating to major events may fail to adequately address the needs of the community or the impact of the event on them</w:t>
            </w:r>
            <w:r w:rsidRPr="0082059A">
              <w:rPr>
                <w:rFonts w:ascii="Arial" w:hAnsi="Arial"/>
              </w:rPr>
              <w:t>.</w:t>
            </w:r>
          </w:p>
          <w:p w14:paraId="657C769E" w14:textId="77777777" w:rsidR="00943A68" w:rsidRPr="00943A68" w:rsidRDefault="00943A68" w:rsidP="00943A68">
            <w:pPr>
              <w:numPr>
                <w:ilvl w:val="0"/>
                <w:numId w:val="9"/>
              </w:numPr>
              <w:rPr>
                <w:rFonts w:ascii="Arial" w:hAnsi="Arial"/>
              </w:rPr>
            </w:pPr>
            <w:r>
              <w:rPr>
                <w:rFonts w:ascii="Arial" w:hAnsi="Arial"/>
                <w:b/>
                <w:bCs/>
              </w:rPr>
              <w:t>Environmental impact</w:t>
            </w:r>
          </w:p>
          <w:p w14:paraId="0E077440" w14:textId="77777777" w:rsidR="00943A68" w:rsidRDefault="00A540B3" w:rsidP="00943A68">
            <w:pPr>
              <w:ind w:left="1440"/>
              <w:rPr>
                <w:rFonts w:ascii="Arial" w:hAnsi="Arial"/>
              </w:rPr>
            </w:pPr>
            <w:r w:rsidRPr="00A540B3">
              <w:rPr>
                <w:rFonts w:ascii="Arial" w:hAnsi="Arial"/>
              </w:rPr>
              <w:t xml:space="preserve">There is a significant environmental impact to holding this sort of event. Local groups have </w:t>
            </w:r>
            <w:r>
              <w:rPr>
                <w:rFonts w:ascii="Arial" w:hAnsi="Arial"/>
              </w:rPr>
              <w:t xml:space="preserve">previously </w:t>
            </w:r>
            <w:r w:rsidRPr="00A540B3">
              <w:rPr>
                <w:rFonts w:ascii="Arial" w:hAnsi="Arial"/>
              </w:rPr>
              <w:t>expressed concerns about the effect on the plants and wildlife in the park</w:t>
            </w:r>
            <w:r>
              <w:rPr>
                <w:rFonts w:ascii="Arial" w:hAnsi="Arial"/>
              </w:rPr>
              <w:t xml:space="preserve">. The failure to consult properly on this decision means that the latest evidence from stakeholders on environmental impact has not been </w:t>
            </w:r>
            <w:proofErr w:type="gramStart"/>
            <w:r>
              <w:rPr>
                <w:rFonts w:ascii="Arial" w:hAnsi="Arial"/>
              </w:rPr>
              <w:t>taken into account</w:t>
            </w:r>
            <w:proofErr w:type="gramEnd"/>
            <w:r>
              <w:rPr>
                <w:rFonts w:ascii="Arial" w:hAnsi="Arial"/>
              </w:rPr>
              <w:t>.</w:t>
            </w:r>
          </w:p>
          <w:p w14:paraId="0321F0B0" w14:textId="77777777" w:rsidR="00A540B3" w:rsidRPr="00A540B3" w:rsidRDefault="00A540B3" w:rsidP="00A540B3">
            <w:pPr>
              <w:numPr>
                <w:ilvl w:val="0"/>
                <w:numId w:val="9"/>
              </w:numPr>
              <w:rPr>
                <w:rFonts w:ascii="Arial" w:hAnsi="Arial"/>
              </w:rPr>
            </w:pPr>
            <w:r>
              <w:rPr>
                <w:rFonts w:ascii="Arial" w:hAnsi="Arial"/>
                <w:b/>
                <w:bCs/>
              </w:rPr>
              <w:t>Safety concerns</w:t>
            </w:r>
          </w:p>
          <w:p w14:paraId="20646162" w14:textId="44FA3089" w:rsidR="00A540B3" w:rsidRDefault="00A540B3" w:rsidP="00A540B3">
            <w:pPr>
              <w:ind w:left="1440"/>
              <w:rPr>
                <w:rFonts w:ascii="Arial" w:hAnsi="Arial"/>
              </w:rPr>
            </w:pPr>
            <w:r w:rsidRPr="00A540B3">
              <w:rPr>
                <w:rFonts w:ascii="Arial" w:hAnsi="Arial"/>
              </w:rPr>
              <w:t xml:space="preserve">There </w:t>
            </w:r>
            <w:r>
              <w:rPr>
                <w:rFonts w:ascii="Arial" w:hAnsi="Arial"/>
              </w:rPr>
              <w:t xml:space="preserve">have been </w:t>
            </w:r>
            <w:r w:rsidRPr="00A540B3">
              <w:rPr>
                <w:rFonts w:ascii="Arial" w:hAnsi="Arial"/>
              </w:rPr>
              <w:t xml:space="preserve">significant safety concerns - both about the promoter in general and about </w:t>
            </w:r>
            <w:r>
              <w:rPr>
                <w:rFonts w:ascii="Arial" w:hAnsi="Arial"/>
              </w:rPr>
              <w:t xml:space="preserve">their previous festivals in Finsbury Park. </w:t>
            </w:r>
            <w:r w:rsidRPr="00A540B3">
              <w:rPr>
                <w:rFonts w:ascii="Arial" w:hAnsi="Arial"/>
              </w:rPr>
              <w:t xml:space="preserve">At the Astro World event in Houston, Texas in 2021, which was run by </w:t>
            </w:r>
            <w:proofErr w:type="spellStart"/>
            <w:r w:rsidRPr="00A540B3">
              <w:rPr>
                <w:rFonts w:ascii="Arial" w:hAnsi="Arial"/>
              </w:rPr>
              <w:t>LiveNation</w:t>
            </w:r>
            <w:proofErr w:type="spellEnd"/>
            <w:r w:rsidRPr="00A540B3">
              <w:rPr>
                <w:rFonts w:ascii="Arial" w:hAnsi="Arial"/>
              </w:rPr>
              <w:t xml:space="preserve">, eight people died and many injured due to crush injuries. In 2012 an employee died after falling through a false ceiling on a stage. </w:t>
            </w:r>
            <w:r>
              <w:rPr>
                <w:rFonts w:ascii="Arial" w:hAnsi="Arial"/>
              </w:rPr>
              <w:t>In 2022,</w:t>
            </w:r>
            <w:r w:rsidRPr="00A540B3">
              <w:rPr>
                <w:rFonts w:ascii="Arial" w:hAnsi="Arial"/>
              </w:rPr>
              <w:t xml:space="preserve"> </w:t>
            </w:r>
            <w:proofErr w:type="gramStart"/>
            <w:r w:rsidRPr="00A540B3">
              <w:rPr>
                <w:rFonts w:ascii="Arial" w:hAnsi="Arial"/>
              </w:rPr>
              <w:t>a number of</w:t>
            </w:r>
            <w:proofErr w:type="gramEnd"/>
            <w:r w:rsidRPr="00A540B3">
              <w:rPr>
                <w:rFonts w:ascii="Arial" w:hAnsi="Arial"/>
              </w:rPr>
              <w:t xml:space="preserve"> people were nearly crushed at the Finsbury Park event and had to climb barriers to escape. This has been noted by </w:t>
            </w:r>
            <w:proofErr w:type="gramStart"/>
            <w:r w:rsidRPr="00A540B3">
              <w:rPr>
                <w:rFonts w:ascii="Arial" w:hAnsi="Arial"/>
              </w:rPr>
              <w:t>a number of</w:t>
            </w:r>
            <w:proofErr w:type="gramEnd"/>
            <w:r w:rsidRPr="00A540B3">
              <w:rPr>
                <w:rFonts w:ascii="Arial" w:hAnsi="Arial"/>
              </w:rPr>
              <w:t xml:space="preserve"> interested parties including Stroud Green ward councillors</w:t>
            </w:r>
            <w:r>
              <w:rPr>
                <w:rFonts w:ascii="Arial" w:hAnsi="Arial"/>
              </w:rPr>
              <w:t>.</w:t>
            </w:r>
            <w:r>
              <w:rPr>
                <w:rFonts w:ascii="Arial" w:hAnsi="Arial"/>
              </w:rPr>
              <w:br/>
              <w:t xml:space="preserve">Again, the failure to consult properly on this decision means that the latest evidence from stakeholders has not been </w:t>
            </w:r>
            <w:proofErr w:type="gramStart"/>
            <w:r>
              <w:rPr>
                <w:rFonts w:ascii="Arial" w:hAnsi="Arial"/>
              </w:rPr>
              <w:t>taken into account</w:t>
            </w:r>
            <w:proofErr w:type="gramEnd"/>
            <w:r>
              <w:rPr>
                <w:rFonts w:ascii="Arial" w:hAnsi="Arial"/>
              </w:rPr>
              <w:t>.</w:t>
            </w:r>
          </w:p>
          <w:p w14:paraId="175F2CCC" w14:textId="3BCF76EA" w:rsidR="00A540B3" w:rsidRPr="00A540B3" w:rsidRDefault="00A540B3" w:rsidP="00A540B3">
            <w:pPr>
              <w:numPr>
                <w:ilvl w:val="0"/>
                <w:numId w:val="9"/>
              </w:numPr>
              <w:rPr>
                <w:rFonts w:ascii="Arial" w:hAnsi="Arial"/>
              </w:rPr>
            </w:pPr>
            <w:r>
              <w:rPr>
                <w:rFonts w:ascii="Arial" w:hAnsi="Arial"/>
                <w:b/>
                <w:bCs/>
              </w:rPr>
              <w:t>Public Spaces Act 1906</w:t>
            </w:r>
          </w:p>
          <w:p w14:paraId="3FC67BDC" w14:textId="77EDA28D" w:rsidR="00A540B3" w:rsidRDefault="00A540B3" w:rsidP="00A540B3">
            <w:pPr>
              <w:ind w:left="1440"/>
              <w:rPr>
                <w:rFonts w:ascii="Arial" w:hAnsi="Arial"/>
              </w:rPr>
            </w:pPr>
            <w:r w:rsidRPr="00A540B3">
              <w:rPr>
                <w:rFonts w:ascii="Arial" w:hAnsi="Arial"/>
              </w:rPr>
              <w:t xml:space="preserve">The council itself has </w:t>
            </w:r>
            <w:r>
              <w:rPr>
                <w:rFonts w:ascii="Arial" w:hAnsi="Arial"/>
              </w:rPr>
              <w:t xml:space="preserve">previously </w:t>
            </w:r>
            <w:r w:rsidRPr="00A540B3">
              <w:rPr>
                <w:rFonts w:ascii="Arial" w:hAnsi="Arial"/>
              </w:rPr>
              <w:t>conceded that the 1906 Act applies here</w:t>
            </w:r>
            <w:r>
              <w:rPr>
                <w:rFonts w:ascii="Arial" w:hAnsi="Arial"/>
              </w:rPr>
              <w:t>,</w:t>
            </w:r>
            <w:r w:rsidRPr="00A540B3">
              <w:rPr>
                <w:rFonts w:ascii="Arial" w:hAnsi="Arial"/>
              </w:rPr>
              <w:t xml:space="preserve"> but we do not believe that the council ha</w:t>
            </w:r>
            <w:r>
              <w:rPr>
                <w:rFonts w:ascii="Arial" w:hAnsi="Arial"/>
              </w:rPr>
              <w:t>s</w:t>
            </w:r>
            <w:r w:rsidRPr="00A540B3">
              <w:rPr>
                <w:rFonts w:ascii="Arial" w:hAnsi="Arial"/>
              </w:rPr>
              <w:t xml:space="preserve"> demonstrated that it is reasonable to close a significant section of the park for such a long period.</w:t>
            </w:r>
          </w:p>
          <w:p w14:paraId="0652B948" w14:textId="45F8A193" w:rsidR="00A540B3" w:rsidRPr="00943A68" w:rsidRDefault="00A540B3" w:rsidP="00A540B3">
            <w:pPr>
              <w:ind w:left="1440"/>
              <w:rPr>
                <w:rFonts w:ascii="Arial" w:hAnsi="Arial"/>
              </w:rPr>
            </w:pPr>
          </w:p>
        </w:tc>
      </w:tr>
    </w:tbl>
    <w:p w14:paraId="7F08EAED" w14:textId="77777777" w:rsidR="00566470" w:rsidRDefault="00566470">
      <w:pPr>
        <w:rPr>
          <w:rFonts w:ascii="Arial" w:hAnsi="Arial"/>
        </w:rPr>
      </w:pPr>
    </w:p>
    <w:p w14:paraId="1429852E" w14:textId="77777777" w:rsidR="00566470" w:rsidRDefault="00566470">
      <w:pPr>
        <w:numPr>
          <w:ilvl w:val="0"/>
          <w:numId w:val="3"/>
        </w:numPr>
        <w:rPr>
          <w:rFonts w:ascii="Arial" w:hAnsi="Arial"/>
          <w:b/>
        </w:rPr>
      </w:pPr>
      <w:r>
        <w:rPr>
          <w:rFonts w:ascii="Arial" w:hAnsi="Arial"/>
          <w:b/>
        </w:rPr>
        <w:t>Variation of Action Proposed</w:t>
      </w:r>
    </w:p>
    <w:p w14:paraId="17E6EB96" w14:textId="77777777" w:rsidR="00566470" w:rsidRDefault="00566470">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566470" w14:paraId="3850A525" w14:textId="77777777">
        <w:tc>
          <w:tcPr>
            <w:tcW w:w="8522" w:type="dxa"/>
          </w:tcPr>
          <w:p w14:paraId="675ED2E0" w14:textId="3FCD8B1F" w:rsidR="00566470" w:rsidRDefault="0033454A" w:rsidP="0033454A">
            <w:pPr>
              <w:numPr>
                <w:ilvl w:val="0"/>
                <w:numId w:val="10"/>
              </w:numPr>
              <w:rPr>
                <w:rFonts w:ascii="Arial" w:hAnsi="Arial"/>
              </w:rPr>
            </w:pPr>
            <w:r>
              <w:rPr>
                <w:rFonts w:ascii="Arial" w:hAnsi="Arial"/>
              </w:rPr>
              <w:t>Cancel the previous decision</w:t>
            </w:r>
          </w:p>
          <w:p w14:paraId="167ABACB" w14:textId="52372AF5" w:rsidR="0033454A" w:rsidRDefault="0033454A" w:rsidP="0033454A">
            <w:pPr>
              <w:numPr>
                <w:ilvl w:val="0"/>
                <w:numId w:val="10"/>
              </w:numPr>
              <w:rPr>
                <w:rFonts w:ascii="Arial" w:hAnsi="Arial"/>
              </w:rPr>
            </w:pPr>
            <w:r>
              <w:rPr>
                <w:rFonts w:ascii="Arial" w:hAnsi="Arial"/>
              </w:rPr>
              <w:t>Update the major events policy</w:t>
            </w:r>
          </w:p>
          <w:p w14:paraId="77759C65" w14:textId="05247278" w:rsidR="0033454A" w:rsidRDefault="0033454A" w:rsidP="0033454A">
            <w:pPr>
              <w:numPr>
                <w:ilvl w:val="0"/>
                <w:numId w:val="10"/>
              </w:numPr>
              <w:rPr>
                <w:rFonts w:ascii="Arial" w:hAnsi="Arial"/>
              </w:rPr>
            </w:pPr>
            <w:r>
              <w:rPr>
                <w:rFonts w:ascii="Arial" w:hAnsi="Arial"/>
              </w:rPr>
              <w:t>Re-run the consultation, seeking positive confirmation that consultees have received the relevant request and have been given sufficient time to provide meaningful responses</w:t>
            </w:r>
          </w:p>
          <w:p w14:paraId="002519AD" w14:textId="323D2EEC" w:rsidR="0033454A" w:rsidRDefault="0033454A" w:rsidP="0033454A">
            <w:pPr>
              <w:numPr>
                <w:ilvl w:val="0"/>
                <w:numId w:val="10"/>
              </w:numPr>
              <w:rPr>
                <w:rFonts w:ascii="Arial" w:hAnsi="Arial"/>
              </w:rPr>
            </w:pPr>
            <w:r>
              <w:rPr>
                <w:rFonts w:ascii="Arial" w:hAnsi="Arial"/>
              </w:rPr>
              <w:t>Make a fresh decision after the above points have been carried out</w:t>
            </w:r>
          </w:p>
          <w:p w14:paraId="3BCCBBE2" w14:textId="77777777" w:rsidR="00566470" w:rsidRDefault="00566470">
            <w:pPr>
              <w:rPr>
                <w:rFonts w:ascii="Arial" w:hAnsi="Arial"/>
              </w:rPr>
            </w:pPr>
          </w:p>
        </w:tc>
      </w:tr>
    </w:tbl>
    <w:p w14:paraId="08DC4055" w14:textId="77777777" w:rsidR="00566470" w:rsidRDefault="00566470">
      <w:pPr>
        <w:rPr>
          <w:rFonts w:ascii="Arial" w:hAnsi="Arial"/>
        </w:rPr>
      </w:pPr>
    </w:p>
    <w:p w14:paraId="049C9FB9" w14:textId="77777777" w:rsidR="00566470" w:rsidRDefault="00566470">
      <w:pPr>
        <w:rPr>
          <w:rFonts w:ascii="Arial" w:hAnsi="Arial"/>
          <w:b/>
          <w:u w:val="single"/>
        </w:rPr>
      </w:pPr>
      <w:r>
        <w:rPr>
          <w:rFonts w:ascii="Arial" w:hAnsi="Arial"/>
        </w:rPr>
        <w:br w:type="page"/>
      </w:r>
      <w:r>
        <w:rPr>
          <w:rFonts w:ascii="Arial" w:hAnsi="Arial"/>
          <w:b/>
          <w:u w:val="single"/>
        </w:rPr>
        <w:lastRenderedPageBreak/>
        <w:t>Signed:</w:t>
      </w:r>
    </w:p>
    <w:p w14:paraId="07A84172" w14:textId="77777777" w:rsidR="00566470" w:rsidRDefault="00566470">
      <w:pPr>
        <w:rPr>
          <w:rFonts w:ascii="Arial" w:hAnsi="Arial"/>
        </w:rPr>
      </w:pPr>
    </w:p>
    <w:p w14:paraId="5CE35F98" w14:textId="128947E3" w:rsidR="00566470" w:rsidRDefault="00566470">
      <w:pPr>
        <w:rPr>
          <w:rFonts w:ascii="Arial" w:hAnsi="Arial"/>
        </w:rPr>
      </w:pPr>
      <w:r>
        <w:rPr>
          <w:rFonts w:ascii="Arial" w:hAnsi="Arial"/>
        </w:rPr>
        <w:t xml:space="preserve">     Councillor</w:t>
      </w:r>
      <w:r w:rsidR="00C64150">
        <w:rPr>
          <w:rFonts w:ascii="Arial" w:hAnsi="Arial"/>
        </w:rPr>
        <w:t xml:space="preserve"> Rossetti</w:t>
      </w:r>
      <w:r w:rsidR="00C64150">
        <w:rPr>
          <w:rFonts w:ascii="Arial" w:hAnsi="Arial"/>
        </w:rPr>
        <w:tab/>
      </w:r>
      <w:r>
        <w:rPr>
          <w:rFonts w:ascii="Arial" w:hAnsi="Arial"/>
        </w:rPr>
        <w:t xml:space="preserve"> </w:t>
      </w:r>
    </w:p>
    <w:p w14:paraId="19D7385E" w14:textId="77777777" w:rsidR="00566470" w:rsidRDefault="00566470">
      <w:pPr>
        <w:rPr>
          <w:rFonts w:ascii="Arial" w:hAnsi="Arial"/>
        </w:rPr>
      </w:pPr>
    </w:p>
    <w:p w14:paraId="709A2212" w14:textId="77777777" w:rsidR="00566470" w:rsidRDefault="00566470">
      <w:pPr>
        <w:rPr>
          <w:rFonts w:ascii="Arial" w:hAnsi="Arial"/>
          <w:b/>
          <w:u w:val="single"/>
        </w:rPr>
      </w:pPr>
      <w:r>
        <w:rPr>
          <w:rFonts w:ascii="Arial" w:hAnsi="Arial"/>
          <w:b/>
          <w:u w:val="single"/>
        </w:rPr>
        <w:t>Countersigned:</w:t>
      </w:r>
    </w:p>
    <w:p w14:paraId="641A0805" w14:textId="77777777" w:rsidR="00566470" w:rsidRDefault="00566470">
      <w:pPr>
        <w:rPr>
          <w:rFonts w:ascii="Arial" w:hAnsi="Arial"/>
        </w:rPr>
      </w:pPr>
    </w:p>
    <w:p w14:paraId="55B28ED8" w14:textId="770CDF75" w:rsidR="00566470" w:rsidRDefault="00566470">
      <w:pPr>
        <w:numPr>
          <w:ilvl w:val="0"/>
          <w:numId w:val="1"/>
        </w:numPr>
        <w:rPr>
          <w:rFonts w:ascii="Arial" w:hAnsi="Arial"/>
        </w:rPr>
      </w:pPr>
      <w:r>
        <w:rPr>
          <w:rFonts w:ascii="Arial" w:hAnsi="Arial"/>
        </w:rPr>
        <w:t>Councillor</w:t>
      </w:r>
      <w:r w:rsidR="00C64150">
        <w:rPr>
          <w:rFonts w:ascii="Arial" w:hAnsi="Arial"/>
        </w:rPr>
        <w:t xml:space="preserve"> Cawley-Harrison</w:t>
      </w:r>
    </w:p>
    <w:p w14:paraId="3E1EC4F1" w14:textId="77777777" w:rsidR="00566470" w:rsidRDefault="00566470">
      <w:pPr>
        <w:rPr>
          <w:rFonts w:ascii="Arial" w:hAnsi="Arial"/>
        </w:rPr>
      </w:pPr>
    </w:p>
    <w:p w14:paraId="3D762E8A" w14:textId="330ADDD5" w:rsidR="00566470" w:rsidRDefault="00566470">
      <w:pPr>
        <w:numPr>
          <w:ilvl w:val="0"/>
          <w:numId w:val="1"/>
        </w:numPr>
        <w:rPr>
          <w:rFonts w:ascii="Arial" w:hAnsi="Arial"/>
        </w:rPr>
      </w:pPr>
      <w:r>
        <w:rPr>
          <w:rFonts w:ascii="Arial" w:hAnsi="Arial"/>
        </w:rPr>
        <w:t>Councillor</w:t>
      </w:r>
      <w:r w:rsidR="00C64150">
        <w:rPr>
          <w:rFonts w:ascii="Arial" w:hAnsi="Arial"/>
        </w:rPr>
        <w:t xml:space="preserve"> Emery</w:t>
      </w:r>
    </w:p>
    <w:p w14:paraId="79E42791" w14:textId="77777777" w:rsidR="00566470" w:rsidRDefault="00566470">
      <w:pPr>
        <w:rPr>
          <w:rFonts w:ascii="Arial" w:hAnsi="Arial"/>
        </w:rPr>
      </w:pPr>
    </w:p>
    <w:p w14:paraId="40CED1CC" w14:textId="70D5E0B7" w:rsidR="00566470" w:rsidRDefault="00566470">
      <w:pPr>
        <w:numPr>
          <w:ilvl w:val="0"/>
          <w:numId w:val="1"/>
        </w:numPr>
        <w:rPr>
          <w:rFonts w:ascii="Arial" w:hAnsi="Arial"/>
        </w:rPr>
      </w:pPr>
      <w:r>
        <w:rPr>
          <w:rFonts w:ascii="Arial" w:hAnsi="Arial"/>
        </w:rPr>
        <w:t>Councillor</w:t>
      </w:r>
      <w:r w:rsidR="00C64150">
        <w:rPr>
          <w:rFonts w:ascii="Arial" w:hAnsi="Arial"/>
        </w:rPr>
        <w:t xml:space="preserve"> da Costa</w:t>
      </w:r>
    </w:p>
    <w:p w14:paraId="59535D25" w14:textId="77777777" w:rsidR="00566470" w:rsidRDefault="00566470">
      <w:pPr>
        <w:rPr>
          <w:rFonts w:ascii="Arial" w:hAnsi="Arial"/>
        </w:rPr>
      </w:pPr>
    </w:p>
    <w:p w14:paraId="6E292CB4" w14:textId="581AB468" w:rsidR="00566470" w:rsidRDefault="00566470">
      <w:pPr>
        <w:numPr>
          <w:ilvl w:val="0"/>
          <w:numId w:val="1"/>
        </w:numPr>
        <w:rPr>
          <w:rFonts w:ascii="Arial" w:hAnsi="Arial"/>
        </w:rPr>
      </w:pPr>
      <w:r>
        <w:rPr>
          <w:rFonts w:ascii="Arial" w:hAnsi="Arial"/>
        </w:rPr>
        <w:t xml:space="preserve">Councillor </w:t>
      </w:r>
      <w:r w:rsidR="00C64150">
        <w:rPr>
          <w:rFonts w:ascii="Arial" w:hAnsi="Arial"/>
        </w:rPr>
        <w:t>Barnes</w:t>
      </w:r>
    </w:p>
    <w:p w14:paraId="3CA4F48B" w14:textId="77777777" w:rsidR="00566470" w:rsidRDefault="00566470">
      <w:pPr>
        <w:rPr>
          <w:rFonts w:ascii="Arial" w:hAnsi="Arial"/>
          <w:b/>
          <w:u w:val="single"/>
        </w:rPr>
      </w:pPr>
    </w:p>
    <w:p w14:paraId="1F465BC7" w14:textId="77777777" w:rsidR="00566470" w:rsidRDefault="00566470">
      <w:pPr>
        <w:rPr>
          <w:rFonts w:ascii="Arial" w:hAnsi="Arial"/>
          <w:b/>
          <w:u w:val="single"/>
        </w:rPr>
      </w:pPr>
      <w:r>
        <w:rPr>
          <w:rFonts w:ascii="Arial" w:hAnsi="Arial"/>
          <w:b/>
          <w:u w:val="single"/>
        </w:rPr>
        <w:t>Date Submitted:</w:t>
      </w:r>
    </w:p>
    <w:p w14:paraId="4B675F23" w14:textId="77777777" w:rsidR="00C64150" w:rsidRDefault="00C64150">
      <w:pPr>
        <w:rPr>
          <w:rFonts w:ascii="Arial" w:hAnsi="Arial"/>
          <w:b/>
          <w:u w:val="single"/>
        </w:rPr>
      </w:pPr>
    </w:p>
    <w:p w14:paraId="04528220" w14:textId="5C865025" w:rsidR="00C64150" w:rsidRPr="00C64150" w:rsidRDefault="00C64150">
      <w:pPr>
        <w:rPr>
          <w:rFonts w:ascii="Arial" w:hAnsi="Arial"/>
          <w:bCs/>
        </w:rPr>
      </w:pPr>
      <w:r w:rsidRPr="00C64150">
        <w:rPr>
          <w:rFonts w:ascii="Arial" w:hAnsi="Arial"/>
          <w:bCs/>
        </w:rPr>
        <w:t>26</w:t>
      </w:r>
      <w:r w:rsidRPr="00C64150">
        <w:rPr>
          <w:rFonts w:ascii="Arial" w:hAnsi="Arial"/>
          <w:bCs/>
          <w:vertAlign w:val="superscript"/>
        </w:rPr>
        <w:t>th</w:t>
      </w:r>
      <w:r w:rsidRPr="00C64150">
        <w:rPr>
          <w:rFonts w:ascii="Arial" w:hAnsi="Arial"/>
          <w:bCs/>
        </w:rPr>
        <w:t xml:space="preserve"> March 2026</w:t>
      </w:r>
    </w:p>
    <w:p w14:paraId="693BAE9E" w14:textId="77777777" w:rsidR="00566470" w:rsidRDefault="00566470">
      <w:pPr>
        <w:rPr>
          <w:rFonts w:ascii="Arial" w:hAnsi="Arial"/>
          <w:b/>
          <w:u w:val="single"/>
        </w:rPr>
      </w:pPr>
    </w:p>
    <w:p w14:paraId="31A6CE9F" w14:textId="77777777" w:rsidR="00566470" w:rsidRPr="001174BC" w:rsidRDefault="00566470">
      <w:pPr>
        <w:rPr>
          <w:rFonts w:ascii="Arial" w:hAnsi="Arial"/>
        </w:rPr>
      </w:pPr>
      <w:r>
        <w:rPr>
          <w:rFonts w:ascii="Arial" w:hAnsi="Arial"/>
          <w:b/>
          <w:u w:val="single"/>
        </w:rPr>
        <w:t xml:space="preserve">Date </w:t>
      </w:r>
      <w:proofErr w:type="gramStart"/>
      <w:r>
        <w:rPr>
          <w:rFonts w:ascii="Arial" w:hAnsi="Arial"/>
          <w:b/>
          <w:u w:val="single"/>
        </w:rPr>
        <w:t xml:space="preserve">Received </w:t>
      </w:r>
      <w:r>
        <w:rPr>
          <w:rFonts w:ascii="Arial" w:hAnsi="Arial"/>
          <w:b/>
        </w:rPr>
        <w:t>:</w:t>
      </w:r>
      <w:proofErr w:type="gramEnd"/>
    </w:p>
    <w:p w14:paraId="675180D4" w14:textId="77777777" w:rsidR="00566470" w:rsidRPr="001174BC" w:rsidRDefault="00566470">
      <w:pPr>
        <w:rPr>
          <w:rFonts w:ascii="Arial" w:hAnsi="Arial"/>
        </w:rPr>
      </w:pPr>
      <w:r>
        <w:rPr>
          <w:rFonts w:ascii="Arial" w:hAnsi="Arial"/>
        </w:rPr>
        <w:t xml:space="preserve">(to be completed by the </w:t>
      </w:r>
      <w:r w:rsidR="001174BC" w:rsidRPr="001174BC">
        <w:rPr>
          <w:rFonts w:ascii="Arial" w:hAnsi="Arial"/>
        </w:rPr>
        <w:t>Democratic Services Manager)</w:t>
      </w:r>
    </w:p>
    <w:p w14:paraId="3CC82167" w14:textId="77777777" w:rsidR="00566470" w:rsidRPr="001174BC" w:rsidRDefault="00566470">
      <w:pPr>
        <w:rPr>
          <w:rFonts w:ascii="Arial" w:hAnsi="Arial"/>
        </w:rPr>
      </w:pPr>
    </w:p>
    <w:p w14:paraId="64B644D5" w14:textId="77777777" w:rsidR="00566470" w:rsidRPr="001174BC" w:rsidRDefault="00566470">
      <w:pPr>
        <w:rPr>
          <w:rFonts w:ascii="Arial" w:hAnsi="Arial"/>
        </w:rPr>
      </w:pPr>
      <w:r w:rsidRPr="001174BC">
        <w:rPr>
          <w:rFonts w:ascii="Arial" w:hAnsi="Arial"/>
        </w:rPr>
        <w:t>Notes:</w:t>
      </w:r>
    </w:p>
    <w:p w14:paraId="3F7B861B" w14:textId="77777777" w:rsidR="00566470" w:rsidRDefault="00566470">
      <w:pPr>
        <w:rPr>
          <w:rFonts w:ascii="Arial" w:hAnsi="Arial"/>
        </w:rPr>
      </w:pPr>
    </w:p>
    <w:p w14:paraId="00D494C7" w14:textId="77777777" w:rsidR="00566470" w:rsidRDefault="00566470">
      <w:pPr>
        <w:numPr>
          <w:ilvl w:val="0"/>
          <w:numId w:val="2"/>
        </w:numPr>
        <w:rPr>
          <w:rFonts w:ascii="Arial" w:hAnsi="Arial"/>
        </w:rPr>
      </w:pPr>
      <w:r>
        <w:rPr>
          <w:rFonts w:ascii="Arial" w:hAnsi="Arial"/>
        </w:rPr>
        <w:t>Please send this form to:</w:t>
      </w:r>
      <w:r>
        <w:rPr>
          <w:rFonts w:ascii="Arial" w:hAnsi="Arial"/>
        </w:rPr>
        <w:tab/>
      </w:r>
    </w:p>
    <w:p w14:paraId="765C3709" w14:textId="77777777" w:rsidR="00566470" w:rsidRDefault="00A674D3">
      <w:pPr>
        <w:ind w:left="2160"/>
        <w:rPr>
          <w:rFonts w:ascii="Arial" w:hAnsi="Arial"/>
        </w:rPr>
      </w:pPr>
      <w:r>
        <w:rPr>
          <w:rFonts w:ascii="Arial" w:hAnsi="Arial"/>
        </w:rPr>
        <w:t xml:space="preserve">Ayshe </w:t>
      </w:r>
      <w:proofErr w:type="gramStart"/>
      <w:r>
        <w:rPr>
          <w:rFonts w:ascii="Arial" w:hAnsi="Arial"/>
        </w:rPr>
        <w:t>Simsek</w:t>
      </w:r>
      <w:r w:rsidR="00566470" w:rsidRPr="001174BC">
        <w:rPr>
          <w:rFonts w:ascii="Arial" w:hAnsi="Arial"/>
        </w:rPr>
        <w:t>(</w:t>
      </w:r>
      <w:proofErr w:type="gramEnd"/>
      <w:r w:rsidR="00566470" w:rsidRPr="001174BC">
        <w:rPr>
          <w:rFonts w:ascii="Arial" w:hAnsi="Arial"/>
        </w:rPr>
        <w:t>on behalf of the Proper Officer)</w:t>
      </w:r>
    </w:p>
    <w:p w14:paraId="4AB83C92" w14:textId="77777777" w:rsidR="001174BC" w:rsidRPr="001174BC" w:rsidRDefault="00A674D3" w:rsidP="001174BC">
      <w:pPr>
        <w:ind w:left="1440" w:firstLine="720"/>
        <w:rPr>
          <w:rFonts w:ascii="Arial" w:hAnsi="Arial"/>
        </w:rPr>
      </w:pPr>
      <w:r>
        <w:rPr>
          <w:rFonts w:ascii="Arial" w:hAnsi="Arial"/>
        </w:rPr>
        <w:t xml:space="preserve">Acting </w:t>
      </w:r>
      <w:r w:rsidR="001174BC" w:rsidRPr="001174BC">
        <w:rPr>
          <w:rFonts w:ascii="Arial" w:hAnsi="Arial"/>
        </w:rPr>
        <w:t xml:space="preserve">Democratic </w:t>
      </w:r>
      <w:proofErr w:type="gramStart"/>
      <w:r w:rsidR="001174BC" w:rsidRPr="001174BC">
        <w:rPr>
          <w:rFonts w:ascii="Arial" w:hAnsi="Arial"/>
        </w:rPr>
        <w:t xml:space="preserve">Services </w:t>
      </w:r>
      <w:r w:rsidR="0038712A">
        <w:rPr>
          <w:rFonts w:ascii="Arial" w:hAnsi="Arial"/>
        </w:rPr>
        <w:t xml:space="preserve"> and</w:t>
      </w:r>
      <w:proofErr w:type="gramEnd"/>
      <w:r w:rsidR="0038712A">
        <w:rPr>
          <w:rFonts w:ascii="Arial" w:hAnsi="Arial"/>
        </w:rPr>
        <w:t xml:space="preserve"> Scrutiny </w:t>
      </w:r>
      <w:r w:rsidR="001174BC" w:rsidRPr="001174BC">
        <w:rPr>
          <w:rFonts w:ascii="Arial" w:hAnsi="Arial"/>
        </w:rPr>
        <w:t>Manager</w:t>
      </w:r>
    </w:p>
    <w:p w14:paraId="18F88C6D" w14:textId="77777777" w:rsidR="00566470" w:rsidRDefault="001174BC">
      <w:pPr>
        <w:ind w:left="2160"/>
        <w:rPr>
          <w:rFonts w:ascii="Arial" w:hAnsi="Arial"/>
        </w:rPr>
      </w:pPr>
      <w:r w:rsidRPr="001174BC">
        <w:rPr>
          <w:rFonts w:ascii="Arial" w:hAnsi="Arial"/>
        </w:rPr>
        <w:t xml:space="preserve"> </w:t>
      </w:r>
      <w:r w:rsidR="00E42BFC">
        <w:rPr>
          <w:rFonts w:ascii="Arial" w:hAnsi="Arial"/>
        </w:rPr>
        <w:t>5</w:t>
      </w:r>
      <w:r w:rsidR="00566470" w:rsidRPr="001174BC">
        <w:rPr>
          <w:rFonts w:ascii="Arial" w:hAnsi="Arial"/>
        </w:rPr>
        <w:t>th</w:t>
      </w:r>
      <w:r w:rsidR="00566470">
        <w:rPr>
          <w:rFonts w:ascii="Arial" w:hAnsi="Arial"/>
        </w:rPr>
        <w:t xml:space="preserve"> Floor</w:t>
      </w:r>
    </w:p>
    <w:p w14:paraId="122FEDD8" w14:textId="77777777" w:rsidR="00566470" w:rsidRDefault="00566470">
      <w:pPr>
        <w:ind w:left="2160"/>
        <w:rPr>
          <w:rFonts w:ascii="Arial" w:hAnsi="Arial"/>
        </w:rPr>
      </w:pPr>
      <w:smartTag w:uri="urn:schemas-microsoft-com:office:smarttags" w:element="place">
        <w:smartTag w:uri="urn:schemas-microsoft-com:office:smarttags" w:element="PlaceType">
          <w:r>
            <w:rPr>
              <w:rFonts w:ascii="Arial" w:hAnsi="Arial"/>
            </w:rPr>
            <w:t>River</w:t>
          </w:r>
        </w:smartTag>
        <w:r>
          <w:rPr>
            <w:rFonts w:ascii="Arial" w:hAnsi="Arial"/>
          </w:rPr>
          <w:t xml:space="preserve"> </w:t>
        </w:r>
        <w:smartTag w:uri="urn:schemas-microsoft-com:office:smarttags" w:element="PlaceType">
          <w:r>
            <w:rPr>
              <w:rFonts w:ascii="Arial" w:hAnsi="Arial"/>
            </w:rPr>
            <w:t>Park</w:t>
          </w:r>
        </w:smartTag>
      </w:smartTag>
      <w:r>
        <w:rPr>
          <w:rFonts w:ascii="Arial" w:hAnsi="Arial"/>
        </w:rPr>
        <w:t xml:space="preserve"> House</w:t>
      </w:r>
    </w:p>
    <w:p w14:paraId="53C42C71" w14:textId="77777777" w:rsidR="00566470" w:rsidRDefault="00566470">
      <w:pPr>
        <w:ind w:left="2160"/>
        <w:rPr>
          <w:rFonts w:ascii="Arial" w:hAnsi="Arial"/>
        </w:rPr>
      </w:pPr>
      <w:smartTag w:uri="urn:schemas-microsoft-com:office:smarttags" w:element="address">
        <w:smartTag w:uri="urn:schemas-microsoft-com:office:smarttags" w:element="Street">
          <w:r>
            <w:rPr>
              <w:rFonts w:ascii="Arial" w:hAnsi="Arial"/>
            </w:rPr>
            <w:t>225 High Road</w:t>
          </w:r>
        </w:smartTag>
      </w:smartTag>
      <w:r>
        <w:rPr>
          <w:rFonts w:ascii="Arial" w:hAnsi="Arial"/>
        </w:rPr>
        <w:t xml:space="preserve">, Wood Green, </w:t>
      </w:r>
      <w:smartTag w:uri="urn:schemas-microsoft-com:office:smarttags" w:element="place">
        <w:smartTag w:uri="urn:schemas-microsoft-com:office:smarttags" w:element="City">
          <w:r>
            <w:rPr>
              <w:rFonts w:ascii="Arial" w:hAnsi="Arial"/>
            </w:rPr>
            <w:t>London</w:t>
          </w:r>
        </w:smartTag>
      </w:smartTag>
      <w:r>
        <w:rPr>
          <w:rFonts w:ascii="Arial" w:hAnsi="Arial"/>
        </w:rPr>
        <w:t xml:space="preserve"> N22 8HQ</w:t>
      </w:r>
    </w:p>
    <w:p w14:paraId="27E9D500" w14:textId="77777777" w:rsidR="00566470" w:rsidRDefault="00EE4226">
      <w:pPr>
        <w:ind w:left="2160"/>
        <w:rPr>
          <w:rFonts w:ascii="Arial" w:hAnsi="Arial"/>
        </w:rPr>
      </w:pPr>
      <w:r>
        <w:rPr>
          <w:rFonts w:ascii="Arial" w:hAnsi="Arial"/>
        </w:rPr>
        <w:t>Tel: 8489 2920</w:t>
      </w:r>
    </w:p>
    <w:p w14:paraId="509D34B2" w14:textId="77777777" w:rsidR="00566470" w:rsidRDefault="00566470">
      <w:pPr>
        <w:ind w:left="2160"/>
        <w:rPr>
          <w:rFonts w:ascii="Arial" w:hAnsi="Arial"/>
        </w:rPr>
      </w:pPr>
      <w:r>
        <w:rPr>
          <w:rFonts w:ascii="Arial" w:hAnsi="Arial"/>
        </w:rPr>
        <w:t>Fax: 020 8</w:t>
      </w:r>
      <w:r w:rsidR="00363384">
        <w:rPr>
          <w:rFonts w:ascii="Arial" w:hAnsi="Arial"/>
        </w:rPr>
        <w:t>881</w:t>
      </w:r>
      <w:r>
        <w:rPr>
          <w:rFonts w:ascii="Arial" w:hAnsi="Arial"/>
        </w:rPr>
        <w:t xml:space="preserve"> </w:t>
      </w:r>
      <w:r w:rsidR="00363384">
        <w:rPr>
          <w:rFonts w:ascii="Arial" w:hAnsi="Arial"/>
        </w:rPr>
        <w:t>5</w:t>
      </w:r>
      <w:r>
        <w:rPr>
          <w:rFonts w:ascii="Arial" w:hAnsi="Arial"/>
        </w:rPr>
        <w:t>2</w:t>
      </w:r>
      <w:r w:rsidR="00363384">
        <w:rPr>
          <w:rFonts w:ascii="Arial" w:hAnsi="Arial"/>
        </w:rPr>
        <w:t>18</w:t>
      </w:r>
    </w:p>
    <w:p w14:paraId="39FB6662" w14:textId="77777777" w:rsidR="00566470" w:rsidRDefault="00566470">
      <w:pPr>
        <w:ind w:firstLine="2880"/>
        <w:rPr>
          <w:rFonts w:ascii="Arial" w:hAnsi="Arial"/>
        </w:rPr>
      </w:pPr>
    </w:p>
    <w:p w14:paraId="7C938FA5" w14:textId="77777777" w:rsidR="00566470" w:rsidRDefault="00566470" w:rsidP="001174BC">
      <w:pPr>
        <w:ind w:left="360"/>
        <w:rPr>
          <w:rFonts w:ascii="Arial" w:hAnsi="Arial"/>
        </w:rPr>
      </w:pPr>
      <w:r>
        <w:rPr>
          <w:rFonts w:ascii="Arial" w:hAnsi="Arial"/>
        </w:rPr>
        <w:t xml:space="preserve">This form must be received by </w:t>
      </w:r>
      <w:proofErr w:type="gramStart"/>
      <w:r>
        <w:rPr>
          <w:rFonts w:ascii="Arial" w:hAnsi="Arial"/>
        </w:rPr>
        <w:t xml:space="preserve">the </w:t>
      </w:r>
      <w:r w:rsidR="00A674D3">
        <w:rPr>
          <w:rFonts w:ascii="Arial" w:hAnsi="Arial"/>
        </w:rPr>
        <w:t xml:space="preserve"> Acting</w:t>
      </w:r>
      <w:proofErr w:type="gramEnd"/>
      <w:r w:rsidR="00A674D3">
        <w:rPr>
          <w:rFonts w:ascii="Arial" w:hAnsi="Arial"/>
        </w:rPr>
        <w:t xml:space="preserve"> </w:t>
      </w:r>
      <w:r w:rsidR="001174BC" w:rsidRPr="001174BC">
        <w:rPr>
          <w:rFonts w:ascii="Arial" w:hAnsi="Arial"/>
        </w:rPr>
        <w:t>Democratic Services</w:t>
      </w:r>
      <w:r w:rsidR="00397F6C">
        <w:rPr>
          <w:rFonts w:ascii="Arial" w:hAnsi="Arial"/>
        </w:rPr>
        <w:t xml:space="preserve"> and </w:t>
      </w:r>
      <w:proofErr w:type="gramStart"/>
      <w:r w:rsidR="00397F6C">
        <w:rPr>
          <w:rFonts w:ascii="Arial" w:hAnsi="Arial"/>
        </w:rPr>
        <w:t xml:space="preserve">Scrutiny </w:t>
      </w:r>
      <w:r w:rsidR="001174BC" w:rsidRPr="001174BC">
        <w:rPr>
          <w:rFonts w:ascii="Arial" w:hAnsi="Arial"/>
        </w:rPr>
        <w:t xml:space="preserve"> Manager</w:t>
      </w:r>
      <w:proofErr w:type="gramEnd"/>
      <w:r>
        <w:rPr>
          <w:rFonts w:ascii="Arial" w:hAnsi="Arial"/>
        </w:rPr>
        <w:t xml:space="preserve"> by 10.00 a.m. on the fifth working day following publication of the minutes.</w:t>
      </w:r>
    </w:p>
    <w:p w14:paraId="43FAA92C" w14:textId="77777777" w:rsidR="00566470" w:rsidRDefault="00566470">
      <w:pPr>
        <w:rPr>
          <w:rFonts w:ascii="Arial" w:hAnsi="Arial"/>
        </w:rPr>
      </w:pPr>
    </w:p>
    <w:p w14:paraId="0238DD1F" w14:textId="77777777" w:rsidR="00566470" w:rsidRDefault="00566470">
      <w:pPr>
        <w:numPr>
          <w:ilvl w:val="0"/>
          <w:numId w:val="2"/>
        </w:numPr>
        <w:rPr>
          <w:rFonts w:ascii="Arial" w:hAnsi="Arial"/>
        </w:rPr>
      </w:pPr>
      <w:r>
        <w:rPr>
          <w:rFonts w:ascii="Arial" w:hAnsi="Arial"/>
        </w:rPr>
        <w:t>The proper officer will forward all timely and proper call-in requests to the Chair of the Overview and Scrutiny Committee and notify the decision taker and the relevant Director.</w:t>
      </w:r>
    </w:p>
    <w:p w14:paraId="5A87A376" w14:textId="77777777" w:rsidR="00566470" w:rsidRDefault="00566470">
      <w:pPr>
        <w:rPr>
          <w:rFonts w:ascii="Arial" w:hAnsi="Arial"/>
        </w:rPr>
      </w:pPr>
    </w:p>
    <w:p w14:paraId="2096BE5D" w14:textId="77777777" w:rsidR="00566470" w:rsidRDefault="00566470">
      <w:pPr>
        <w:numPr>
          <w:ilvl w:val="0"/>
          <w:numId w:val="2"/>
        </w:numPr>
        <w:rPr>
          <w:rFonts w:ascii="Arial" w:hAnsi="Arial"/>
        </w:rPr>
      </w:pPr>
      <w:r>
        <w:rPr>
          <w:rFonts w:ascii="Arial" w:hAnsi="Arial"/>
        </w:rPr>
        <w:t xml:space="preserve">A decision will be implemented after the expiry of ten working days following the Chair of Overview and Scrutiny Committee's receipt of a call-in request, unless a meeting of the Overview and Scrutiny Committee takes place during the </w:t>
      </w:r>
      <w:proofErr w:type="gramStart"/>
      <w:r>
        <w:rPr>
          <w:rFonts w:ascii="Arial" w:hAnsi="Arial"/>
        </w:rPr>
        <w:t>10 day</w:t>
      </w:r>
      <w:proofErr w:type="gramEnd"/>
      <w:r>
        <w:rPr>
          <w:rFonts w:ascii="Arial" w:hAnsi="Arial"/>
        </w:rPr>
        <w:t xml:space="preserve"> period.</w:t>
      </w:r>
    </w:p>
    <w:p w14:paraId="5211ADC1" w14:textId="77777777" w:rsidR="00566470" w:rsidRDefault="00566470">
      <w:pPr>
        <w:rPr>
          <w:rFonts w:ascii="Arial" w:hAnsi="Arial"/>
        </w:rPr>
      </w:pPr>
    </w:p>
    <w:p w14:paraId="0B43B941" w14:textId="77777777" w:rsidR="00566470" w:rsidRDefault="00566470">
      <w:pPr>
        <w:numPr>
          <w:ilvl w:val="0"/>
          <w:numId w:val="2"/>
        </w:numPr>
        <w:rPr>
          <w:rFonts w:ascii="Arial" w:hAnsi="Arial"/>
        </w:rPr>
      </w:pPr>
      <w:r>
        <w:rPr>
          <w:rFonts w:ascii="Arial" w:hAnsi="Arial"/>
        </w:rPr>
        <w:t>If a call-in request claims that a decision is contrary to the policy or budget framework, the Proper Officer will forward the call-in requests to the Monitoring Officer and /or Chief Financial Officer for a report to be prepared for the Overview and Scrutiny Committee advising whether the decision does fall outside the policy or budget framework.</w:t>
      </w:r>
    </w:p>
    <w:sectPr w:rsidR="00566470" w:rsidSect="00037B7E">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C30"/>
    <w:multiLevelType w:val="hybridMultilevel"/>
    <w:tmpl w:val="E8964406"/>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4119B4"/>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22031877"/>
    <w:multiLevelType w:val="hybridMultilevel"/>
    <w:tmpl w:val="E8BE5BF4"/>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8F532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488A15BB"/>
    <w:multiLevelType w:val="multilevel"/>
    <w:tmpl w:val="AB6A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F05E25"/>
    <w:multiLevelType w:val="hybridMultilevel"/>
    <w:tmpl w:val="AC5E4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D609A5"/>
    <w:multiLevelType w:val="hybridMultilevel"/>
    <w:tmpl w:val="8C90F208"/>
    <w:lvl w:ilvl="0" w:tplc="F35238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0111C0"/>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7DE520A7"/>
    <w:multiLevelType w:val="hybridMultilevel"/>
    <w:tmpl w:val="86526B8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484029"/>
    <w:multiLevelType w:val="hybridMultilevel"/>
    <w:tmpl w:val="1BF0300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201943">
    <w:abstractNumId w:val="7"/>
  </w:num>
  <w:num w:numId="2" w16cid:durableId="738288700">
    <w:abstractNumId w:val="1"/>
  </w:num>
  <w:num w:numId="3" w16cid:durableId="726879029">
    <w:abstractNumId w:val="3"/>
  </w:num>
  <w:num w:numId="4" w16cid:durableId="2025205328">
    <w:abstractNumId w:val="6"/>
  </w:num>
  <w:num w:numId="5" w16cid:durableId="1714184752">
    <w:abstractNumId w:val="2"/>
  </w:num>
  <w:num w:numId="6" w16cid:durableId="676347145">
    <w:abstractNumId w:val="8"/>
  </w:num>
  <w:num w:numId="7" w16cid:durableId="395469794">
    <w:abstractNumId w:val="4"/>
  </w:num>
  <w:num w:numId="8" w16cid:durableId="474564231">
    <w:abstractNumId w:val="0"/>
  </w:num>
  <w:num w:numId="9" w16cid:durableId="644704440">
    <w:abstractNumId w:val="9"/>
  </w:num>
  <w:num w:numId="10" w16cid:durableId="2057849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4757"/>
    <w:rsid w:val="00037B7E"/>
    <w:rsid w:val="00045163"/>
    <w:rsid w:val="000722E9"/>
    <w:rsid w:val="000A4659"/>
    <w:rsid w:val="001174BC"/>
    <w:rsid w:val="00161AA8"/>
    <w:rsid w:val="0017261E"/>
    <w:rsid w:val="001A7E8F"/>
    <w:rsid w:val="001D5B61"/>
    <w:rsid w:val="002A0866"/>
    <w:rsid w:val="002C65ED"/>
    <w:rsid w:val="002D5974"/>
    <w:rsid w:val="002E7DD5"/>
    <w:rsid w:val="00300FDD"/>
    <w:rsid w:val="0033454A"/>
    <w:rsid w:val="00363384"/>
    <w:rsid w:val="00370317"/>
    <w:rsid w:val="0038712A"/>
    <w:rsid w:val="00397F6C"/>
    <w:rsid w:val="0043516F"/>
    <w:rsid w:val="004F432D"/>
    <w:rsid w:val="00506F99"/>
    <w:rsid w:val="00517293"/>
    <w:rsid w:val="00566470"/>
    <w:rsid w:val="00616DB0"/>
    <w:rsid w:val="0078589B"/>
    <w:rsid w:val="007B381B"/>
    <w:rsid w:val="0082059A"/>
    <w:rsid w:val="0088790D"/>
    <w:rsid w:val="008D5CD1"/>
    <w:rsid w:val="008F2341"/>
    <w:rsid w:val="008F5F66"/>
    <w:rsid w:val="00943A68"/>
    <w:rsid w:val="00986120"/>
    <w:rsid w:val="009B4757"/>
    <w:rsid w:val="00A540B3"/>
    <w:rsid w:val="00A60C8A"/>
    <w:rsid w:val="00A674D3"/>
    <w:rsid w:val="00AA477B"/>
    <w:rsid w:val="00AD58A0"/>
    <w:rsid w:val="00AE0ABB"/>
    <w:rsid w:val="00BB66A8"/>
    <w:rsid w:val="00BD5855"/>
    <w:rsid w:val="00C64150"/>
    <w:rsid w:val="00C950F3"/>
    <w:rsid w:val="00D24AC8"/>
    <w:rsid w:val="00DA4BA7"/>
    <w:rsid w:val="00E42BFC"/>
    <w:rsid w:val="00E91752"/>
    <w:rsid w:val="00EC4EE4"/>
    <w:rsid w:val="00EE4226"/>
    <w:rsid w:val="00EF5CD9"/>
    <w:rsid w:val="00F121D6"/>
    <w:rsid w:val="00F85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56848A6B"/>
  <w15:chartTrackingRefBased/>
  <w15:docId w15:val="{14543E4E-737C-4571-953D-EA6B33BA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7B7E"/>
    <w:rPr>
      <w:rFonts w:ascii="Gill Sans MT" w:hAnsi="Gill Sans MT"/>
      <w:sz w:val="24"/>
    </w:rPr>
  </w:style>
  <w:style w:type="paragraph" w:styleId="Heading1">
    <w:name w:val="heading 1"/>
    <w:basedOn w:val="Normal"/>
    <w:next w:val="Normal"/>
    <w:qFormat/>
    <w:rsid w:val="00037B7E"/>
    <w:pPr>
      <w:keepNext/>
      <w:outlineLvl w:val="0"/>
    </w:pPr>
    <w:rPr>
      <w:b/>
    </w:rPr>
  </w:style>
  <w:style w:type="paragraph" w:styleId="Heading2">
    <w:name w:val="heading 2"/>
    <w:basedOn w:val="Normal"/>
    <w:next w:val="Normal"/>
    <w:link w:val="Heading2Char"/>
    <w:semiHidden/>
    <w:unhideWhenUsed/>
    <w:qFormat/>
    <w:rsid w:val="00300FDD"/>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7B7E"/>
    <w:pPr>
      <w:jc w:val="center"/>
    </w:pPr>
    <w:rPr>
      <w:b/>
      <w:u w:val="single"/>
    </w:rPr>
  </w:style>
  <w:style w:type="paragraph" w:styleId="BalloonText">
    <w:name w:val="Balloon Text"/>
    <w:basedOn w:val="Normal"/>
    <w:semiHidden/>
    <w:rsid w:val="009B4757"/>
    <w:rPr>
      <w:rFonts w:ascii="Tahoma" w:hAnsi="Tahoma" w:cs="Tahoma"/>
      <w:sz w:val="16"/>
      <w:szCs w:val="16"/>
    </w:rPr>
  </w:style>
  <w:style w:type="character" w:styleId="Hyperlink">
    <w:name w:val="Hyperlink"/>
    <w:rsid w:val="002D5974"/>
    <w:rPr>
      <w:color w:val="467886"/>
      <w:u w:val="single"/>
    </w:rPr>
  </w:style>
  <w:style w:type="character" w:styleId="UnresolvedMention">
    <w:name w:val="Unresolved Mention"/>
    <w:uiPriority w:val="99"/>
    <w:semiHidden/>
    <w:unhideWhenUsed/>
    <w:rsid w:val="002D5974"/>
    <w:rPr>
      <w:color w:val="605E5C"/>
      <w:shd w:val="clear" w:color="auto" w:fill="E1DFDD"/>
    </w:rPr>
  </w:style>
  <w:style w:type="character" w:customStyle="1" w:styleId="Heading2Char">
    <w:name w:val="Heading 2 Char"/>
    <w:basedOn w:val="DefaultParagraphFont"/>
    <w:link w:val="Heading2"/>
    <w:semiHidden/>
    <w:rsid w:val="00300FDD"/>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374858">
      <w:bodyDiv w:val="1"/>
      <w:marLeft w:val="0"/>
      <w:marRight w:val="0"/>
      <w:marTop w:val="0"/>
      <w:marBottom w:val="0"/>
      <w:divBdr>
        <w:top w:val="none" w:sz="0" w:space="0" w:color="auto"/>
        <w:left w:val="none" w:sz="0" w:space="0" w:color="auto"/>
        <w:bottom w:val="none" w:sz="0" w:space="0" w:color="auto"/>
        <w:right w:val="none" w:sz="0" w:space="0" w:color="auto"/>
      </w:divBdr>
      <w:divsChild>
        <w:div w:id="1614900694">
          <w:marLeft w:val="0"/>
          <w:marRight w:val="0"/>
          <w:marTop w:val="0"/>
          <w:marBottom w:val="0"/>
          <w:divBdr>
            <w:top w:val="none" w:sz="0" w:space="0" w:color="auto"/>
            <w:left w:val="none" w:sz="0" w:space="0" w:color="auto"/>
            <w:bottom w:val="none" w:sz="0" w:space="0" w:color="auto"/>
            <w:right w:val="none" w:sz="0" w:space="0" w:color="auto"/>
          </w:divBdr>
        </w:div>
      </w:divsChild>
    </w:div>
    <w:div w:id="1598368507">
      <w:bodyDiv w:val="1"/>
      <w:marLeft w:val="0"/>
      <w:marRight w:val="0"/>
      <w:marTop w:val="0"/>
      <w:marBottom w:val="0"/>
      <w:divBdr>
        <w:top w:val="none" w:sz="0" w:space="0" w:color="auto"/>
        <w:left w:val="none" w:sz="0" w:space="0" w:color="auto"/>
        <w:bottom w:val="none" w:sz="0" w:space="0" w:color="auto"/>
        <w:right w:val="none" w:sz="0" w:space="0" w:color="auto"/>
      </w:divBdr>
      <w:divsChild>
        <w:div w:id="2048413610">
          <w:marLeft w:val="0"/>
          <w:marRight w:val="0"/>
          <w:marTop w:val="0"/>
          <w:marBottom w:val="0"/>
          <w:divBdr>
            <w:top w:val="none" w:sz="0" w:space="0" w:color="auto"/>
            <w:left w:val="none" w:sz="0" w:space="0" w:color="auto"/>
            <w:bottom w:val="none" w:sz="0" w:space="0" w:color="auto"/>
            <w:right w:val="none" w:sz="0" w:space="0" w:color="auto"/>
          </w:divBdr>
        </w:div>
      </w:divsChild>
    </w:div>
    <w:div w:id="1771855372">
      <w:bodyDiv w:val="1"/>
      <w:marLeft w:val="0"/>
      <w:marRight w:val="0"/>
      <w:marTop w:val="0"/>
      <w:marBottom w:val="0"/>
      <w:divBdr>
        <w:top w:val="none" w:sz="0" w:space="0" w:color="auto"/>
        <w:left w:val="none" w:sz="0" w:space="0" w:color="auto"/>
        <w:bottom w:val="none" w:sz="0" w:space="0" w:color="auto"/>
        <w:right w:val="none" w:sz="0" w:space="0" w:color="auto"/>
      </w:divBdr>
      <w:divsChild>
        <w:div w:id="19208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13647</TotalTime>
  <Pages>3</Pages>
  <Words>900</Words>
  <Characters>4677</Characters>
  <Application>Microsoft Office Word</Application>
  <DocSecurity>0</DocSecurity>
  <Lines>155</Lines>
  <Paragraphs>64</Paragraphs>
  <ScaleCrop>false</ScaleCrop>
  <HeadingPairs>
    <vt:vector size="2" baseType="variant">
      <vt:variant>
        <vt:lpstr>Title</vt:lpstr>
      </vt:variant>
      <vt:variant>
        <vt:i4>1</vt:i4>
      </vt:variant>
    </vt:vector>
  </HeadingPairs>
  <TitlesOfParts>
    <vt:vector size="1" baseType="lpstr">
      <vt:lpstr>‘CALL IN’  OF DECISIONS OF THE POLICY AND STRATEGY COMMITTEE/SOCIAL SERVICES COMMITTEE</vt:lpstr>
    </vt:vector>
  </TitlesOfParts>
  <Company>Haringey Council</Company>
  <LinksUpToDate>false</LinksUpToDate>
  <CharactersWithSpaces>5513</CharactersWithSpaces>
  <SharedDoc>false</SharedDoc>
  <HLinks>
    <vt:vector size="6" baseType="variant">
      <vt:variant>
        <vt:i4>3604591</vt:i4>
      </vt:variant>
      <vt:variant>
        <vt:i4>0</vt:i4>
      </vt:variant>
      <vt:variant>
        <vt:i4>0</vt:i4>
      </vt:variant>
      <vt:variant>
        <vt:i4>5</vt:i4>
      </vt:variant>
      <vt:variant>
        <vt:lpwstr>https://haringey.gov.uk/sites/default/files/cil_charging_schedule_updated_with_governance_and_revised_reg_123_2020.pdf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IN’  OF DECISIONS OF THE POLICY AND STRATEGY COMMITTEE/SOCIAL SERVICES COMMITTEE</dc:title>
  <dc:subject/>
  <dc:creator>Jean Tang</dc:creator>
  <cp:keywords/>
  <cp:lastModifiedBy>Colin Martin</cp:lastModifiedBy>
  <cp:revision>8</cp:revision>
  <cp:lastPrinted>2008-02-21T13:14:00Z</cp:lastPrinted>
  <dcterms:created xsi:type="dcterms:W3CDTF">2026-03-20T15:47:00Z</dcterms:created>
  <dcterms:modified xsi:type="dcterms:W3CDTF">2026-03-30T07:10:00Z</dcterms:modified>
</cp:coreProperties>
</file>